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5CFD" w:rsidRDefault="001B5CFD">
      <w:pPr>
        <w:pStyle w:val="Standard"/>
        <w:rPr>
          <w:rFonts w:hint="eastAsia"/>
        </w:rPr>
      </w:pPr>
    </w:p>
    <w:p w:rsidR="001B5CFD" w:rsidRDefault="00000000">
      <w:pPr>
        <w:pStyle w:val="Standard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6389279" cy="78552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9279" cy="7855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000000">
      <w:pPr>
        <w:pStyle w:val="Standard"/>
        <w:jc w:val="center"/>
        <w:rPr>
          <w:rFonts w:hint="eastAsia"/>
          <w:b/>
        </w:rPr>
      </w:pPr>
      <w:r>
        <w:rPr>
          <w:b/>
        </w:rPr>
        <w:t>ОПШТИ ПОДАЦИ О ЈАВНОЈ НАБАВЦИ</w:t>
      </w: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000000">
      <w:pPr>
        <w:pStyle w:val="Standard"/>
        <w:numPr>
          <w:ilvl w:val="0"/>
          <w:numId w:val="4"/>
        </w:numPr>
        <w:jc w:val="both"/>
        <w:rPr>
          <w:rFonts w:hint="eastAsia"/>
          <w:b/>
        </w:rPr>
      </w:pPr>
      <w:r>
        <w:rPr>
          <w:b/>
        </w:rPr>
        <w:t>Подаци о наручиоцу</w:t>
      </w:r>
    </w:p>
    <w:p w:rsidR="001B5CFD" w:rsidRDefault="00000000">
      <w:pPr>
        <w:pStyle w:val="Standard"/>
        <w:ind w:left="360"/>
        <w:rPr>
          <w:rFonts w:hint="eastAsia"/>
        </w:rPr>
      </w:pPr>
      <w:r>
        <w:t xml:space="preserve">Наручилац: </w:t>
      </w:r>
      <w:r>
        <w:rPr>
          <w:szCs w:val="22"/>
        </w:rPr>
        <w:t>Јавно градско саобраћајно предузеће "Нови Сад"</w:t>
      </w:r>
    </w:p>
    <w:p w:rsidR="001B5CFD" w:rsidRDefault="00000000">
      <w:pPr>
        <w:pStyle w:val="Standard"/>
        <w:ind w:firstLine="360"/>
        <w:rPr>
          <w:rFonts w:hint="eastAsia"/>
        </w:rPr>
      </w:pPr>
      <w:r>
        <w:t>Адреса: Футошки пут 46, 21137 Нови Сад</w:t>
      </w:r>
    </w:p>
    <w:p w:rsidR="001B5CFD" w:rsidRDefault="00000000">
      <w:pPr>
        <w:pStyle w:val="Standard"/>
        <w:ind w:firstLine="360"/>
        <w:rPr>
          <w:rFonts w:hint="eastAsia"/>
        </w:rPr>
      </w:pPr>
      <w:r>
        <w:t xml:space="preserve">Интернет страница: </w:t>
      </w:r>
      <w:hyperlink r:id="rId8" w:history="1">
        <w:r>
          <w:rPr>
            <w:rStyle w:val="Internetlink"/>
            <w:color w:val="000000"/>
          </w:rPr>
          <w:t>www.gspns.co.rs</w:t>
        </w:r>
      </w:hyperlink>
    </w:p>
    <w:p w:rsidR="001B5CFD" w:rsidRDefault="001B5CFD">
      <w:pPr>
        <w:pStyle w:val="Standard"/>
        <w:rPr>
          <w:rFonts w:hint="eastAsia"/>
          <w:b/>
        </w:rPr>
      </w:pPr>
    </w:p>
    <w:p w:rsidR="001B5CFD" w:rsidRDefault="00000000">
      <w:pPr>
        <w:pStyle w:val="Standard"/>
        <w:numPr>
          <w:ilvl w:val="0"/>
          <w:numId w:val="1"/>
        </w:numPr>
        <w:jc w:val="both"/>
        <w:rPr>
          <w:rFonts w:hint="eastAsia"/>
          <w:b/>
        </w:rPr>
      </w:pPr>
      <w:r>
        <w:rPr>
          <w:b/>
        </w:rPr>
        <w:t>Врста поступка јавне набавке</w:t>
      </w:r>
    </w:p>
    <w:p w:rsidR="001B5CFD" w:rsidRDefault="00000000">
      <w:pPr>
        <w:pStyle w:val="Standard"/>
        <w:ind w:left="360"/>
        <w:jc w:val="both"/>
        <w:rPr>
          <w:rFonts w:hint="eastAsia"/>
        </w:rPr>
      </w:pPr>
      <w:r>
        <w:t>Предметна јавна набавка се спроводи у отвореном поступку, у складу са Законом и подзаконским актима којима се уређују јавне набавке.</w:t>
      </w:r>
    </w:p>
    <w:p w:rsidR="001B5CFD" w:rsidRDefault="001B5CFD">
      <w:pPr>
        <w:pStyle w:val="Standard"/>
        <w:ind w:left="360"/>
        <w:jc w:val="both"/>
        <w:rPr>
          <w:rFonts w:hint="eastAsia"/>
        </w:rPr>
      </w:pPr>
    </w:p>
    <w:p w:rsidR="001B5CFD" w:rsidRDefault="00000000">
      <w:pPr>
        <w:pStyle w:val="Standard"/>
        <w:numPr>
          <w:ilvl w:val="0"/>
          <w:numId w:val="1"/>
        </w:numPr>
        <w:jc w:val="both"/>
        <w:rPr>
          <w:rFonts w:hint="eastAsia"/>
          <w:b/>
        </w:rPr>
      </w:pPr>
      <w:r>
        <w:rPr>
          <w:b/>
        </w:rPr>
        <w:t>Предмет јавне набавке</w:t>
      </w:r>
    </w:p>
    <w:p w:rsidR="001B5CFD" w:rsidRDefault="00000000">
      <w:pPr>
        <w:pStyle w:val="Standard"/>
        <w:ind w:left="360"/>
        <w:jc w:val="both"/>
        <w:rPr>
          <w:rFonts w:hint="eastAsia"/>
        </w:rPr>
      </w:pPr>
      <w:r>
        <w:t xml:space="preserve">Предмет јавне набавке број </w:t>
      </w:r>
      <w:r>
        <w:rPr>
          <w:lang w:val="sr-Latn-RS"/>
        </w:rPr>
        <w:t>11/2</w:t>
      </w:r>
      <w:r>
        <w:t>3</w:t>
      </w:r>
      <w:r>
        <w:rPr>
          <w:lang w:val="sr-Latn-RS"/>
        </w:rPr>
        <w:t xml:space="preserve"> </w:t>
      </w:r>
      <w:r>
        <w:t xml:space="preserve">су </w:t>
      </w:r>
      <w:r>
        <w:rPr>
          <w:b/>
        </w:rPr>
        <w:t>добра</w:t>
      </w:r>
      <w:r>
        <w:t xml:space="preserve">: </w:t>
      </w:r>
      <w:r>
        <w:rPr>
          <w:b/>
        </w:rPr>
        <w:t>Пакет за заштиту од вируса “Sophos”.</w:t>
      </w:r>
    </w:p>
    <w:p w:rsidR="001B5CFD" w:rsidRDefault="001B5CFD">
      <w:pPr>
        <w:pStyle w:val="Standard"/>
        <w:jc w:val="center"/>
        <w:rPr>
          <w:rFonts w:hint="eastAsia"/>
          <w:b/>
          <w:szCs w:val="22"/>
          <w:lang w:eastAsia="sr-Latn-RS"/>
        </w:rPr>
      </w:pPr>
    </w:p>
    <w:p w:rsidR="001B5CFD" w:rsidRDefault="00000000">
      <w:pPr>
        <w:pStyle w:val="Standard"/>
        <w:numPr>
          <w:ilvl w:val="0"/>
          <w:numId w:val="1"/>
        </w:numPr>
        <w:jc w:val="both"/>
        <w:rPr>
          <w:rFonts w:hint="eastAsia"/>
          <w:b/>
        </w:rPr>
      </w:pPr>
      <w:r>
        <w:rPr>
          <w:b/>
        </w:rPr>
        <w:t>Циљ поступка</w:t>
      </w:r>
    </w:p>
    <w:p w:rsidR="001B5CFD" w:rsidRDefault="00000000">
      <w:pPr>
        <w:pStyle w:val="Standard"/>
        <w:ind w:left="360"/>
        <w:jc w:val="both"/>
        <w:rPr>
          <w:rFonts w:hint="eastAsia"/>
        </w:rPr>
      </w:pPr>
      <w:r>
        <w:t>Поступак јавне набавке се спроводи ради закључења уговора о јавној набавци.</w:t>
      </w: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000000">
      <w:pPr>
        <w:pStyle w:val="Standard"/>
        <w:numPr>
          <w:ilvl w:val="0"/>
          <w:numId w:val="1"/>
        </w:numPr>
        <w:jc w:val="both"/>
        <w:rPr>
          <w:rFonts w:hint="eastAsia"/>
          <w:b/>
        </w:rPr>
      </w:pPr>
      <w:r>
        <w:rPr>
          <w:b/>
        </w:rPr>
        <w:t>Контакт лице и служба</w:t>
      </w:r>
    </w:p>
    <w:p w:rsidR="001B5CFD" w:rsidRDefault="00000000">
      <w:pPr>
        <w:pStyle w:val="Standard"/>
        <w:ind w:left="360"/>
        <w:rPr>
          <w:rFonts w:hint="eastAsia"/>
        </w:rPr>
      </w:pPr>
      <w:r>
        <w:t>Лице за контакт: Бланка Ристановић</w:t>
      </w:r>
    </w:p>
    <w:p w:rsidR="001B5CFD" w:rsidRDefault="00000000">
      <w:pPr>
        <w:pStyle w:val="Standard"/>
        <w:ind w:firstLine="360"/>
        <w:rPr>
          <w:rFonts w:hint="eastAsia"/>
        </w:rPr>
      </w:pPr>
      <w:r>
        <w:t xml:space="preserve">Е-mail адреса: </w:t>
      </w:r>
      <w:hyperlink r:id="rId9" w:history="1">
        <w:r>
          <w:rPr>
            <w:rStyle w:val="Internetlink"/>
            <w:color w:val="000000"/>
            <w:lang w:val="sr-Latn-RS"/>
          </w:rPr>
          <w:t>blanka.radojevic@gspns.rs</w:t>
        </w:r>
      </w:hyperlink>
      <w:r w:rsidR="00184D74">
        <w:rPr>
          <w:rStyle w:val="Internetlink"/>
          <w:color w:val="000000"/>
          <w:lang w:val="sr-Latn-RS"/>
        </w:rPr>
        <w:t xml:space="preserve"> </w:t>
      </w:r>
    </w:p>
    <w:p w:rsidR="001B5CFD" w:rsidRDefault="00000000">
      <w:pPr>
        <w:pStyle w:val="Standard"/>
        <w:ind w:left="360"/>
        <w:rPr>
          <w:rFonts w:hint="eastAsia"/>
        </w:rPr>
      </w:pPr>
      <w:r>
        <w:rPr>
          <w:b/>
        </w:rPr>
        <w:t>Пријем електронске поште врши се преко портала Канцеларије за јавне набавке.</w:t>
      </w: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000000">
      <w:pPr>
        <w:pStyle w:val="Standard"/>
        <w:jc w:val="center"/>
        <w:rPr>
          <w:rFonts w:hint="eastAsia"/>
          <w:b/>
          <w:lang w:val="sr-Latn-RS"/>
        </w:rPr>
      </w:pPr>
      <w:r>
        <w:rPr>
          <w:b/>
          <w:lang w:val="sr-Latn-RS"/>
        </w:rPr>
        <w:t xml:space="preserve"> </w:t>
      </w: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000000">
      <w:pPr>
        <w:pStyle w:val="Standard"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941800" cy="730080"/>
            <wp:effectExtent l="0" t="0" r="1800" b="0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800" cy="730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000000">
      <w:pPr>
        <w:pStyle w:val="Standard"/>
        <w:jc w:val="center"/>
        <w:rPr>
          <w:rFonts w:hint="eastAsia"/>
          <w:b/>
        </w:rPr>
      </w:pPr>
      <w:r>
        <w:rPr>
          <w:b/>
        </w:rPr>
        <w:t>ПОДАЦИ О ПРЕДМЕТУ НАБАВКЕ</w:t>
      </w:r>
    </w:p>
    <w:p w:rsidR="001B5CFD" w:rsidRDefault="001B5CFD">
      <w:pPr>
        <w:pStyle w:val="Standard"/>
        <w:jc w:val="center"/>
        <w:rPr>
          <w:rFonts w:hint="eastAsia"/>
          <w:b/>
        </w:rPr>
      </w:pPr>
    </w:p>
    <w:p w:rsidR="001B5CFD" w:rsidRDefault="00000000">
      <w:pPr>
        <w:pStyle w:val="Standard"/>
        <w:numPr>
          <w:ilvl w:val="0"/>
          <w:numId w:val="5"/>
        </w:numPr>
        <w:jc w:val="both"/>
        <w:rPr>
          <w:rFonts w:hint="eastAsia"/>
        </w:rPr>
      </w:pPr>
      <w:r>
        <w:rPr>
          <w:b/>
        </w:rPr>
        <w:t>ПРЕДМЕТ ЈАВНЕ НАБАВКЕ</w:t>
      </w:r>
      <w:r>
        <w:rPr>
          <w:b/>
          <w:lang w:val="sr-Latn-RS"/>
        </w:rPr>
        <w:t>:</w:t>
      </w:r>
    </w:p>
    <w:p w:rsidR="001B5CFD" w:rsidRDefault="001B5CFD">
      <w:pPr>
        <w:pStyle w:val="Standard"/>
        <w:jc w:val="both"/>
        <w:rPr>
          <w:rFonts w:hint="eastAsia"/>
          <w:b/>
          <w:lang w:val="sr-Latn-RS"/>
        </w:rPr>
      </w:pPr>
    </w:p>
    <w:p w:rsidR="001B5CFD" w:rsidRDefault="00000000">
      <w:pPr>
        <w:pStyle w:val="Standard"/>
        <w:jc w:val="both"/>
        <w:rPr>
          <w:rFonts w:hint="eastAsia"/>
        </w:rPr>
      </w:pPr>
      <w:r>
        <w:t xml:space="preserve">Предмет јавне набавке број </w:t>
      </w:r>
      <w:bookmarkStart w:id="0" w:name="OLE_LINK5"/>
      <w:bookmarkStart w:id="1" w:name="OLE_LINK6"/>
      <w:r>
        <w:rPr>
          <w:lang w:val="sr-Latn-RS"/>
        </w:rPr>
        <w:t>11/2</w:t>
      </w:r>
      <w:r>
        <w:t>3</w:t>
      </w:r>
      <w:r>
        <w:rPr>
          <w:lang w:val="sr-Latn-RS"/>
        </w:rPr>
        <w:t xml:space="preserve"> </w:t>
      </w:r>
      <w:r>
        <w:t xml:space="preserve">су добра: </w:t>
      </w:r>
      <w:r>
        <w:rPr>
          <w:b/>
        </w:rPr>
        <w:t>Пакет за заштиту од вируса “Sophos</w:t>
      </w:r>
      <w:bookmarkEnd w:id="0"/>
      <w:bookmarkEnd w:id="1"/>
      <w:r>
        <w:rPr>
          <w:b/>
        </w:rPr>
        <w:t>”.</w:t>
      </w:r>
    </w:p>
    <w:p w:rsidR="001B5CFD" w:rsidRDefault="001B5CFD">
      <w:pPr>
        <w:pStyle w:val="Standard"/>
        <w:jc w:val="both"/>
        <w:rPr>
          <w:rFonts w:hint="eastAsia"/>
          <w:b/>
        </w:rPr>
      </w:pPr>
    </w:p>
    <w:p w:rsidR="001B5CFD" w:rsidRDefault="00000000">
      <w:pPr>
        <w:pStyle w:val="Standard"/>
        <w:jc w:val="both"/>
        <w:rPr>
          <w:rFonts w:hint="eastAsia"/>
        </w:rPr>
      </w:pPr>
      <w:bookmarkStart w:id="2" w:name="_Hlk46994185"/>
      <w:r>
        <w:t>О</w:t>
      </w:r>
      <w:r>
        <w:rPr>
          <w:lang w:val="ru-RU"/>
        </w:rPr>
        <w:t xml:space="preserve">знака из општег речника набавке (ознака </w:t>
      </w:r>
      <w:r>
        <w:rPr>
          <w:lang w:val="sr-Latn-RS"/>
        </w:rPr>
        <w:t>CPV</w:t>
      </w:r>
      <w:r>
        <w:t xml:space="preserve">): </w:t>
      </w:r>
      <w:bookmarkEnd w:id="2"/>
      <w:r>
        <w:rPr>
          <w:lang w:val="sr-Latn-CS"/>
        </w:rPr>
        <w:t>48760000</w:t>
      </w:r>
      <w:r>
        <w:t xml:space="preserve"> Програмски пакет за заштиту од вируса</w:t>
      </w:r>
      <w:r>
        <w:rPr>
          <w:rFonts w:ascii="Calibri" w:hAnsi="Calibri" w:cs="Calibri"/>
          <w:sz w:val="22"/>
          <w:szCs w:val="22"/>
          <w:lang w:val="sr-Latn-RS"/>
        </w:rPr>
        <w:t>.</w:t>
      </w:r>
    </w:p>
    <w:p w:rsidR="001B5CFD" w:rsidRDefault="001B5CFD">
      <w:pPr>
        <w:pStyle w:val="Standard"/>
        <w:jc w:val="both"/>
        <w:rPr>
          <w:rFonts w:ascii="Calibri" w:hAnsi="Calibri" w:cs="Calibri"/>
          <w:sz w:val="22"/>
          <w:szCs w:val="22"/>
          <w:lang w:val="sr-Latn-RS"/>
        </w:rPr>
      </w:pPr>
    </w:p>
    <w:p w:rsidR="001B5CFD" w:rsidRDefault="00000000">
      <w:pPr>
        <w:pStyle w:val="Standard"/>
        <w:jc w:val="both"/>
        <w:rPr>
          <w:rFonts w:hint="eastAsia"/>
        </w:rPr>
      </w:pPr>
      <w:r>
        <w:rPr>
          <w:b/>
          <w:lang w:val="sr-Latn-CS"/>
        </w:rPr>
        <w:t>2. СРЕДСТВА ОБЕЗБЕЂЕЊА</w:t>
      </w:r>
      <w:r>
        <w:rPr>
          <w:b/>
        </w:rPr>
        <w:t xml:space="preserve"> </w:t>
      </w:r>
      <w:r>
        <w:rPr>
          <w:b/>
          <w:lang w:val="sr-Latn-CS"/>
        </w:rPr>
        <w:t>-</w:t>
      </w:r>
      <w:r>
        <w:rPr>
          <w:b/>
        </w:rPr>
        <w:t xml:space="preserve"> ЗА </w:t>
      </w:r>
      <w:r>
        <w:rPr>
          <w:b/>
          <w:lang w:val="sr-Latn-CS"/>
        </w:rPr>
        <w:t>О</w:t>
      </w:r>
      <w:r>
        <w:rPr>
          <w:b/>
        </w:rPr>
        <w:t>ЗБИЉНОСТ ПОНУДЕ</w:t>
      </w:r>
    </w:p>
    <w:p w:rsidR="001B5CFD" w:rsidRDefault="001B5CFD">
      <w:pPr>
        <w:pStyle w:val="Standard"/>
        <w:jc w:val="both"/>
        <w:rPr>
          <w:rFonts w:hint="eastAsia"/>
          <w:b/>
          <w:lang w:val="sr-Latn-CS"/>
        </w:rPr>
      </w:pPr>
    </w:p>
    <w:p w:rsidR="001B5CFD" w:rsidRDefault="00000000">
      <w:pPr>
        <w:pStyle w:val="Standard"/>
        <w:jc w:val="both"/>
        <w:rPr>
          <w:rFonts w:hint="eastAsia"/>
        </w:rPr>
      </w:pPr>
      <w:r>
        <w:t>Понуђач је дужан да достави с</w:t>
      </w:r>
      <w:r>
        <w:rPr>
          <w:lang w:val="sr-Latn-CS"/>
        </w:rPr>
        <w:t xml:space="preserve">редство финансијског обезбеђења за озбиљност понуде и то бланко сопствена меница, која мора бити евидентирана у Регистру меница и овлашћења Народне банке Србије, </w:t>
      </w:r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меницу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орегистрацији</w:t>
      </w:r>
      <w:proofErr w:type="spellEnd"/>
      <w:r>
        <w:rPr>
          <w:lang w:val="sr-Latn-CS"/>
        </w:rPr>
        <w:t>.</w:t>
      </w:r>
    </w:p>
    <w:p w:rsidR="001B5CFD" w:rsidRDefault="00000000">
      <w:pPr>
        <w:pStyle w:val="Standard"/>
        <w:jc w:val="both"/>
        <w:rPr>
          <w:rFonts w:hint="eastAsia"/>
        </w:rPr>
      </w:pPr>
      <w:r>
        <w:rPr>
          <w:lang w:val="sr-Latn-CS"/>
        </w:rPr>
        <w:t>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 (ако Понуђач у свом пословању употребљава печат) - писмо, са назначеним износом од 3% од укуп</w:t>
      </w:r>
      <w:r>
        <w:t>н</w:t>
      </w:r>
      <w:r>
        <w:rPr>
          <w:lang w:val="sr-Latn-CS"/>
        </w:rPr>
        <w:t>е вредности понуде без ПДВ-а.</w:t>
      </w:r>
    </w:p>
    <w:p w:rsidR="001B5CFD" w:rsidRDefault="00000000">
      <w:pPr>
        <w:pStyle w:val="Standard"/>
        <w:jc w:val="both"/>
        <w:rPr>
          <w:rFonts w:hint="eastAsia"/>
          <w:lang w:val="sr-Latn-CS"/>
        </w:rPr>
      </w:pPr>
      <w:r>
        <w:rPr>
          <w:lang w:val="sr-Latn-CS"/>
        </w:rPr>
        <w:t>Уз меницу мора бити достављена копија картона депонованих потписа који је издат од стране пословне банке коју Понуђач наводи у меничном овлашћењу - писму.</w:t>
      </w:r>
    </w:p>
    <w:p w:rsidR="001B5CFD" w:rsidRDefault="00000000">
      <w:pPr>
        <w:pStyle w:val="Standard"/>
        <w:jc w:val="both"/>
        <w:rPr>
          <w:rFonts w:hint="eastAsia"/>
          <w:lang w:val="sr-Latn-CS"/>
        </w:rPr>
      </w:pPr>
      <w:r>
        <w:rPr>
          <w:lang w:val="sr-Latn-CS"/>
        </w:rPr>
        <w:t>Рок важења менице је 30 дана дужи од дана отварања понуде.</w:t>
      </w:r>
    </w:p>
    <w:p w:rsidR="001B5CFD" w:rsidRDefault="00000000">
      <w:pPr>
        <w:pStyle w:val="Standard"/>
        <w:jc w:val="both"/>
        <w:rPr>
          <w:rFonts w:hint="eastAsia"/>
        </w:rPr>
      </w:pPr>
      <w:r>
        <w:rPr>
          <w:lang w:val="sr-Latn-CS"/>
        </w:rPr>
        <w:t xml:space="preserve">Наручилац ће </w:t>
      </w:r>
      <w:proofErr w:type="spellStart"/>
      <w:r>
        <w:t>наплатити</w:t>
      </w:r>
      <w:proofErr w:type="spellEnd"/>
      <w:r>
        <w:t xml:space="preserve"> </w:t>
      </w:r>
      <w:proofErr w:type="spellStart"/>
      <w:r>
        <w:t>меницу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rPr>
          <w:lang w:val="sr-Latn-CS"/>
        </w:rPr>
        <w:t xml:space="preserve"> дату уз понуду уколико Понуђач:</w:t>
      </w:r>
    </w:p>
    <w:p w:rsidR="001B5CFD" w:rsidRDefault="00000000">
      <w:pPr>
        <w:pStyle w:val="Standard"/>
        <w:jc w:val="both"/>
        <w:rPr>
          <w:rFonts w:hint="eastAsia"/>
          <w:lang w:val="sr-Latn-CS"/>
        </w:rPr>
      </w:pPr>
      <w:r>
        <w:rPr>
          <w:lang w:val="sr-Latn-CS"/>
        </w:rPr>
        <w:t>• одустане од своје понуде у року важења понуде</w:t>
      </w:r>
    </w:p>
    <w:p w:rsidR="001B5CFD" w:rsidRDefault="00000000">
      <w:pPr>
        <w:pStyle w:val="Standard"/>
        <w:jc w:val="both"/>
        <w:rPr>
          <w:rFonts w:hint="eastAsia"/>
          <w:lang w:val="sr-Latn-CS"/>
        </w:rPr>
      </w:pPr>
      <w:r>
        <w:rPr>
          <w:lang w:val="sr-Latn-CS"/>
        </w:rPr>
        <w:t>• по позиву не достави доказе о испуњености критеријума за квалитативни избор,</w:t>
      </w:r>
    </w:p>
    <w:p w:rsidR="001B5CFD" w:rsidRDefault="00000000">
      <w:pPr>
        <w:pStyle w:val="Standard"/>
        <w:jc w:val="both"/>
        <w:rPr>
          <w:rFonts w:hint="eastAsia"/>
          <w:lang w:val="sr-Latn-CS"/>
        </w:rPr>
      </w:pPr>
      <w:r>
        <w:rPr>
          <w:lang w:val="sr-Latn-CS"/>
        </w:rPr>
        <w:t>• благовремено не потпише уговор о јавној набавци и</w:t>
      </w:r>
    </w:p>
    <w:p w:rsidR="001B5CFD" w:rsidRDefault="00000000">
      <w:pPr>
        <w:pStyle w:val="Standard"/>
        <w:jc w:val="both"/>
        <w:rPr>
          <w:rFonts w:hint="eastAsia"/>
          <w:lang w:val="sr-Latn-CS"/>
        </w:rPr>
      </w:pPr>
      <w:r>
        <w:rPr>
          <w:lang w:val="sr-Latn-CS"/>
        </w:rPr>
        <w:t>• не достави средство финансијског обезбеђења за испуњење уговорних обавеза.</w:t>
      </w:r>
    </w:p>
    <w:p w:rsidR="001B5CFD" w:rsidRDefault="00000000">
      <w:pPr>
        <w:pStyle w:val="Standard"/>
        <w:jc w:val="both"/>
        <w:rPr>
          <w:rFonts w:hint="eastAsia"/>
        </w:rPr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вратити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>.</w:t>
      </w:r>
    </w:p>
    <w:p w:rsidR="001B5CFD" w:rsidRDefault="00000000">
      <w:pPr>
        <w:pStyle w:val="Standard"/>
        <w:jc w:val="both"/>
        <w:rPr>
          <w:rFonts w:hint="eastAsia"/>
        </w:rPr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меницу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банкарску</w:t>
      </w:r>
      <w:proofErr w:type="spellEnd"/>
      <w:r>
        <w:t xml:space="preserve"> </w:t>
      </w:r>
      <w:proofErr w:type="spellStart"/>
      <w:r>
        <w:t>гаранцију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одбијена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неприхватљива</w:t>
      </w:r>
      <w:proofErr w:type="spellEnd"/>
      <w:r>
        <w:t>.</w:t>
      </w:r>
    </w:p>
    <w:p w:rsidR="001B5CFD" w:rsidRDefault="001B5CFD">
      <w:pPr>
        <w:pStyle w:val="Standard"/>
        <w:jc w:val="both"/>
        <w:rPr>
          <w:rFonts w:hint="eastAsia"/>
          <w:bCs/>
          <w:iCs/>
          <w:lang w:val="sr-Latn-CS"/>
        </w:rPr>
      </w:pPr>
    </w:p>
    <w:p w:rsidR="001B5CFD" w:rsidRDefault="00000000">
      <w:pPr>
        <w:pStyle w:val="Standard"/>
        <w:jc w:val="both"/>
        <w:rPr>
          <w:rFonts w:hint="eastAsia"/>
          <w:bCs/>
          <w:iCs/>
          <w:lang w:val="sr-Latn-CS"/>
        </w:rPr>
      </w:pPr>
      <w:r>
        <w:rPr>
          <w:bCs/>
          <w:iCs/>
          <w:lang w:val="sr-Latn-CS"/>
        </w:rPr>
        <w:t>Понуђачи су обавезни да средство финансијског обезбеђења за озбиљност понуде, доставе Наручиоцу у року за подношење понуда непосредно или путем поште у затвореној коверти, на адресу: Футошки пут 46, са назнаком:</w:t>
      </w:r>
    </w:p>
    <w:p w:rsidR="001B5CFD" w:rsidRDefault="00000000">
      <w:pPr>
        <w:pStyle w:val="Standard"/>
        <w:jc w:val="both"/>
        <w:rPr>
          <w:rFonts w:hint="eastAsia"/>
        </w:rPr>
      </w:pPr>
      <w:r>
        <w:rPr>
          <w:bCs/>
          <w:iCs/>
          <w:lang w:val="sr-Latn-CS"/>
        </w:rPr>
        <w:t xml:space="preserve">“Средство финансијског обезбеђења за јавну набавку број </w:t>
      </w:r>
      <w:r>
        <w:rPr>
          <w:bCs/>
          <w:iCs/>
        </w:rPr>
        <w:t>11</w:t>
      </w:r>
      <w:r>
        <w:rPr>
          <w:bCs/>
          <w:iCs/>
          <w:lang w:val="sr-Latn-CS"/>
        </w:rPr>
        <w:t>/2</w:t>
      </w:r>
      <w:r>
        <w:rPr>
          <w:bCs/>
          <w:iCs/>
        </w:rPr>
        <w:t>3</w:t>
      </w:r>
      <w:r>
        <w:rPr>
          <w:bCs/>
          <w:iCs/>
          <w:lang w:val="sr-Latn-CS"/>
        </w:rPr>
        <w:t xml:space="preserve"> – НЕ</w:t>
      </w:r>
      <w:r>
        <w:rPr>
          <w:bCs/>
          <w:iCs/>
        </w:rPr>
        <w:t xml:space="preserve"> </w:t>
      </w:r>
      <w:r>
        <w:rPr>
          <w:bCs/>
          <w:iCs/>
          <w:lang w:val="sr-Latn-CS"/>
        </w:rPr>
        <w:t>ОТВАРАТИ</w:t>
      </w:r>
      <w:r>
        <w:rPr>
          <w:b/>
          <w:i/>
        </w:rPr>
        <w:t>“</w:t>
      </w:r>
      <w:r>
        <w:rPr>
          <w:b/>
          <w:i/>
          <w:lang w:val="sr-Latn-CS"/>
        </w:rPr>
        <w:t>.</w:t>
      </w:r>
    </w:p>
    <w:p w:rsidR="001B5CFD" w:rsidRDefault="001B5CFD">
      <w:pPr>
        <w:pStyle w:val="Standard"/>
        <w:jc w:val="both"/>
        <w:rPr>
          <w:rFonts w:hint="eastAsia"/>
          <w:lang w:val="sr-Latn-CS"/>
        </w:rPr>
      </w:pPr>
    </w:p>
    <w:p w:rsidR="001B5CFD" w:rsidRDefault="00000000">
      <w:pPr>
        <w:pStyle w:val="Standard"/>
        <w:jc w:val="both"/>
        <w:rPr>
          <w:rFonts w:hint="eastAsia"/>
        </w:rPr>
      </w:pPr>
      <w:r>
        <w:rPr>
          <w:b/>
        </w:rPr>
        <w:t xml:space="preserve">3. </w:t>
      </w:r>
      <w:r>
        <w:rPr>
          <w:b/>
          <w:lang w:val="sr-Latn-CS"/>
        </w:rPr>
        <w:t>СРЕДСТВА ОБЕЗБЕЂЕЊА</w:t>
      </w:r>
      <w:r>
        <w:rPr>
          <w:b/>
        </w:rPr>
        <w:t xml:space="preserve"> –</w:t>
      </w:r>
      <w:r>
        <w:rPr>
          <w:b/>
          <w:lang w:val="sr-Latn-RS"/>
        </w:rPr>
        <w:t xml:space="preserve"> </w:t>
      </w:r>
      <w:r>
        <w:rPr>
          <w:b/>
        </w:rPr>
        <w:t>ЗА ИЗВРШЕЊЕ УГОВОРНИХ ОБАВЕЗА</w:t>
      </w:r>
    </w:p>
    <w:p w:rsidR="001B5CFD" w:rsidRDefault="001B5CFD">
      <w:pPr>
        <w:pStyle w:val="Standard"/>
        <w:jc w:val="both"/>
        <w:rPr>
          <w:rFonts w:hint="eastAsia"/>
          <w:b/>
          <w:lang w:val="sr-Latn-CS"/>
        </w:rPr>
      </w:pPr>
    </w:p>
    <w:p w:rsidR="001B5CFD" w:rsidRDefault="00000000">
      <w:pPr>
        <w:pStyle w:val="Standard"/>
        <w:jc w:val="both"/>
        <w:rPr>
          <w:rFonts w:hint="eastAsia"/>
        </w:rPr>
      </w:pPr>
      <w:r>
        <w:rPr>
          <w:lang w:val="sr-Latn-CS"/>
        </w:rPr>
        <w:t>Одабрани понуђач ће морати да достави следећ</w:t>
      </w:r>
      <w:r>
        <w:t>е</w:t>
      </w:r>
      <w:r>
        <w:rPr>
          <w:lang w:val="sr-Latn-CS"/>
        </w:rPr>
        <w:t xml:space="preserve"> средств</w:t>
      </w:r>
      <w:r>
        <w:t>о</w:t>
      </w:r>
      <w:r>
        <w:rPr>
          <w:lang w:val="sr-Latn-CS"/>
        </w:rPr>
        <w:t xml:space="preserve"> обезбеђења за извршење уговора:</w:t>
      </w:r>
    </w:p>
    <w:p w:rsidR="001B5CFD" w:rsidRDefault="00000000">
      <w:pPr>
        <w:pStyle w:val="Standard"/>
        <w:jc w:val="both"/>
        <w:rPr>
          <w:rFonts w:hint="eastAsia"/>
        </w:rPr>
      </w:pPr>
      <w:r>
        <w:rPr>
          <w:lang w:val="sr-Latn-CS"/>
        </w:rPr>
        <w:t>Понуђач је дужан да приликом закључивања уговора о јавној набавци достави средство финансијског обезбеђења за испуњење уговорних обавеза и то бланко сопствену меницу, која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 (ако Понуђач у свом пословању употребљава печат) - писмо, са назначеним износом од 10% од укуп</w:t>
      </w:r>
      <w:r>
        <w:t>н</w:t>
      </w:r>
      <w:r>
        <w:rPr>
          <w:lang w:val="sr-Latn-CS"/>
        </w:rPr>
        <w:t>е вредности уговора без ПДВ-а.</w:t>
      </w:r>
    </w:p>
    <w:p w:rsidR="001B5CFD" w:rsidRDefault="00000000">
      <w:pPr>
        <w:pStyle w:val="Standard"/>
        <w:jc w:val="both"/>
        <w:rPr>
          <w:rFonts w:hint="eastAsia"/>
          <w:lang w:val="sr-Latn-CS"/>
        </w:rPr>
      </w:pPr>
      <w:r>
        <w:rPr>
          <w:lang w:val="sr-Latn-CS"/>
        </w:rPr>
        <w:lastRenderedPageBreak/>
        <w:t>Уз меницу мора бити достављена копија картона депонованих потписа који је издат од стране пословне банке коју понуђач наводи у меничном овлашћењу - писму.</w:t>
      </w:r>
    </w:p>
    <w:p w:rsidR="001B5CFD" w:rsidRDefault="00000000">
      <w:pPr>
        <w:pStyle w:val="Standard"/>
        <w:jc w:val="both"/>
        <w:rPr>
          <w:rFonts w:hint="eastAsia"/>
          <w:lang w:val="sr-Latn-CS"/>
        </w:rPr>
      </w:pPr>
      <w:r>
        <w:rPr>
          <w:lang w:val="sr-Latn-CS"/>
        </w:rPr>
        <w:t>Рок важења менице мора бити дужи 30 дана од рока трајања уговора.</w:t>
      </w:r>
    </w:p>
    <w:p w:rsidR="001B5CFD" w:rsidRDefault="00000000">
      <w:pPr>
        <w:pStyle w:val="Standard"/>
        <w:jc w:val="both"/>
        <w:rPr>
          <w:rFonts w:hint="eastAsia"/>
          <w:lang w:val="sr-Latn-CS"/>
        </w:rPr>
      </w:pPr>
      <w:r>
        <w:rPr>
          <w:lang w:val="sr-Latn-CS"/>
        </w:rPr>
        <w:t>Наручилац ће уновчити меницу уколико Понуђач не изврши своје уговорне обавезе у роковима и на начин предвиђен уговором, односно у складу са одредбама закљученог уговора о јавној набавци и евентуално закључених припадајућих анекса.</w:t>
      </w:r>
    </w:p>
    <w:p w:rsidR="001B5CFD" w:rsidRDefault="00000000">
      <w:pPr>
        <w:pStyle w:val="Standard"/>
        <w:jc w:val="both"/>
        <w:rPr>
          <w:rFonts w:hint="eastAsia"/>
          <w:lang w:val="sr-Latn-CS"/>
        </w:rPr>
      </w:pPr>
      <w:r>
        <w:rPr>
          <w:lang w:val="sr-Latn-CS"/>
        </w:rPr>
        <w:t>Уколико Понуђач не достави меницу приликом потписивања уговора о јавној набавци, сматраће се да је одбио да потпише уговор и исти се неће сматрати закљученим.</w:t>
      </w:r>
    </w:p>
    <w:p w:rsidR="001B5CFD" w:rsidRDefault="001B5CFD">
      <w:pPr>
        <w:pStyle w:val="Standard"/>
        <w:jc w:val="both"/>
        <w:rPr>
          <w:rFonts w:hint="eastAsia"/>
          <w:iCs/>
        </w:rPr>
      </w:pPr>
    </w:p>
    <w:p w:rsidR="001B5CFD" w:rsidRDefault="00000000">
      <w:pPr>
        <w:pStyle w:val="Standard"/>
        <w:jc w:val="both"/>
        <w:rPr>
          <w:rFonts w:hint="eastAsia"/>
        </w:rPr>
      </w:pPr>
      <w:r>
        <w:rPr>
          <w:b/>
        </w:rPr>
        <w:t>4. РОК И МЕСТО ИЗВРШЕЊА УСЛУГА, НАЧИН И УСЛОВИ ПЛАЋАЊА, КАО И ДРУГЕ ОКОЛНОСТИ ОД КОЈИХ ЗАВИСИ ПРИХВАТАЊЕ ПОНУДЕ</w:t>
      </w:r>
    </w:p>
    <w:p w:rsidR="001B5CFD" w:rsidRDefault="001B5CFD">
      <w:pPr>
        <w:pStyle w:val="Standard"/>
        <w:jc w:val="both"/>
        <w:rPr>
          <w:rFonts w:hint="eastAsia"/>
          <w:b/>
          <w:iCs/>
        </w:rPr>
      </w:pPr>
    </w:p>
    <w:p w:rsidR="001B5CFD" w:rsidRDefault="00000000">
      <w:pPr>
        <w:pStyle w:val="Standard"/>
        <w:jc w:val="both"/>
        <w:rPr>
          <w:rFonts w:hint="eastAsia"/>
        </w:rPr>
      </w:pPr>
      <w:r>
        <w:rPr>
          <w:b/>
          <w:iCs/>
        </w:rPr>
        <w:t>Место</w:t>
      </w:r>
      <w:r>
        <w:rPr>
          <w:iCs/>
        </w:rPr>
        <w:t xml:space="preserve"> </w:t>
      </w:r>
      <w:r>
        <w:rPr>
          <w:b/>
          <w:iCs/>
        </w:rPr>
        <w:t>извршења</w:t>
      </w:r>
      <w:r>
        <w:rPr>
          <w:iCs/>
        </w:rPr>
        <w:t>: Футошки пут 46, Нови Сад.</w:t>
      </w:r>
    </w:p>
    <w:p w:rsidR="001B5CFD" w:rsidRDefault="001B5CFD">
      <w:pPr>
        <w:pStyle w:val="Standard"/>
        <w:jc w:val="both"/>
        <w:rPr>
          <w:rFonts w:hint="eastAsia"/>
          <w:iCs/>
        </w:rPr>
      </w:pPr>
    </w:p>
    <w:p w:rsidR="001B5CFD" w:rsidRDefault="00000000">
      <w:pPr>
        <w:pStyle w:val="Standard"/>
        <w:jc w:val="both"/>
        <w:rPr>
          <w:rFonts w:hint="eastAsia"/>
        </w:rPr>
      </w:pPr>
      <w:proofErr w:type="spellStart"/>
      <w:r>
        <w:rPr>
          <w:b/>
          <w:iCs/>
        </w:rPr>
        <w:t>Рок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извршења</w:t>
      </w:r>
      <w:proofErr w:type="spellEnd"/>
      <w:r>
        <w:rPr>
          <w:b/>
          <w:iCs/>
        </w:rPr>
        <w:t>:</w:t>
      </w:r>
      <w:r>
        <w:t xml:space="preserve"> </w:t>
      </w:r>
      <w:r>
        <w:rPr>
          <w:lang w:val="sr-Latn-CS"/>
        </w:rPr>
        <w:t xml:space="preserve">Понуђач ће </w:t>
      </w:r>
      <w:bookmarkStart w:id="3" w:name="OLE_LINK260"/>
      <w:proofErr w:type="spellStart"/>
      <w:r>
        <w:t>извршити</w:t>
      </w:r>
      <w:proofErr w:type="spellEnd"/>
      <w:r>
        <w:t xml:space="preserve"> </w:t>
      </w:r>
      <w:proofErr w:type="spellStart"/>
      <w:r>
        <w:t>испоруку</w:t>
      </w:r>
      <w:proofErr w:type="spellEnd"/>
      <w:r>
        <w:t xml:space="preserve"> и </w:t>
      </w:r>
      <w:proofErr w:type="spellStart"/>
      <w:r>
        <w:t>инсталацију</w:t>
      </w:r>
      <w:proofErr w:type="spellEnd"/>
      <w:r>
        <w:t xml:space="preserve"> </w:t>
      </w:r>
      <w:proofErr w:type="spellStart"/>
      <w:r>
        <w:t>пакета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вируса</w:t>
      </w:r>
      <w:proofErr w:type="spellEnd"/>
      <w:r>
        <w:t xml:space="preserve"> “Sophos</w:t>
      </w:r>
      <w:bookmarkEnd w:id="3"/>
      <w:r>
        <w:t xml:space="preserve">”,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остале потребне радње </w:t>
      </w:r>
      <w:r>
        <w:rPr>
          <w:lang w:val="sr-Latn-CS"/>
        </w:rPr>
        <w:t xml:space="preserve">најкасније </w:t>
      </w:r>
      <w:r>
        <w:t>1</w:t>
      </w:r>
      <w:r>
        <w:rPr>
          <w:lang w:val="sr-Latn-RS"/>
        </w:rPr>
        <w:t>5</w:t>
      </w:r>
      <w:r>
        <w:t xml:space="preserve"> </w:t>
      </w:r>
      <w:r>
        <w:rPr>
          <w:lang w:val="sr-Latn-CS"/>
        </w:rPr>
        <w:t>дана након пријема захтева Наручиоца, односно</w:t>
      </w:r>
      <w:r>
        <w:t xml:space="preserve"> потребних</w:t>
      </w:r>
      <w:r>
        <w:rPr>
          <w:lang w:val="sr-Latn-CS"/>
        </w:rPr>
        <w:t xml:space="preserve"> података те извршења неопходних припремних радњи од стране Наручиоца</w:t>
      </w:r>
      <w:r>
        <w:t>.</w:t>
      </w:r>
    </w:p>
    <w:p w:rsidR="001B5CFD" w:rsidRDefault="001B5CFD">
      <w:pPr>
        <w:pStyle w:val="Standard"/>
        <w:rPr>
          <w:rFonts w:ascii="Segoe UI" w:hAnsi="Segoe UI" w:cs="Segoe UI"/>
          <w:b/>
          <w:bCs/>
          <w:sz w:val="18"/>
          <w:szCs w:val="18"/>
          <w:lang w:eastAsia="sr-Latn-RS"/>
        </w:rPr>
      </w:pPr>
    </w:p>
    <w:p w:rsidR="001B5CFD" w:rsidRDefault="00000000">
      <w:pPr>
        <w:pStyle w:val="Standard"/>
        <w:jc w:val="both"/>
        <w:rPr>
          <w:rFonts w:hint="eastAsia"/>
          <w:b/>
        </w:rPr>
      </w:pPr>
      <w:r>
        <w:rPr>
          <w:b/>
        </w:rPr>
        <w:t>Рок и начин плаћања:</w:t>
      </w:r>
    </w:p>
    <w:p w:rsidR="001B5CFD" w:rsidRDefault="00000000">
      <w:pPr>
        <w:pStyle w:val="Standard"/>
        <w:jc w:val="both"/>
        <w:rPr>
          <w:rFonts w:hint="eastAsia"/>
        </w:rPr>
      </w:pPr>
      <w:r>
        <w:rPr>
          <w:bCs/>
          <w:iCs/>
        </w:rPr>
        <w:t>Рок</w:t>
      </w:r>
      <w:r>
        <w:rPr>
          <w:bCs/>
          <w:iCs/>
          <w:lang w:val="sr-Latn-RS"/>
        </w:rPr>
        <w:t xml:space="preserve"> </w:t>
      </w:r>
      <w:r>
        <w:rPr>
          <w:bCs/>
          <w:iCs/>
        </w:rPr>
        <w:t xml:space="preserve">плаћања не може бити дужи од 45 </w:t>
      </w:r>
      <w:proofErr w:type="spellStart"/>
      <w:r>
        <w:rPr>
          <w:bCs/>
          <w:iCs/>
        </w:rPr>
        <w:t>дана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рачунајући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од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дана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испостављања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исправне</w:t>
      </w:r>
      <w:proofErr w:type="spellEnd"/>
      <w:r>
        <w:rPr>
          <w:bCs/>
          <w:iCs/>
        </w:rPr>
        <w:t xml:space="preserve"> </w:t>
      </w:r>
      <w:proofErr w:type="spellStart"/>
      <w:r>
        <w:t>исправне</w:t>
      </w:r>
      <w:proofErr w:type="spellEnd"/>
      <w:r>
        <w:t xml:space="preserve"> </w:t>
      </w:r>
      <w:proofErr w:type="spellStart"/>
      <w:r>
        <w:t>фактуре</w:t>
      </w:r>
      <w:proofErr w:type="spellEnd"/>
      <w:r>
        <w:t xml:space="preserve"> – </w:t>
      </w:r>
      <w:proofErr w:type="spellStart"/>
      <w:r>
        <w:t>рачуна</w:t>
      </w:r>
      <w:proofErr w:type="spellEnd"/>
      <w:r>
        <w:t>, у складу са Законом о роковима измирења новчаних обавеза у комерцијалним трансакцијама ("Сл. гласник РС", бр. 119/2012, 68/2015, 113/2017</w:t>
      </w:r>
      <w:r>
        <w:rPr>
          <w:lang w:val="sr-Latn-RS"/>
        </w:rPr>
        <w:t>,</w:t>
      </w:r>
      <w:r>
        <w:t xml:space="preserve"> 91/2019,</w:t>
      </w:r>
      <w:r>
        <w:rPr>
          <w:rFonts w:eastAsia="Calibri"/>
        </w:rPr>
        <w:t xml:space="preserve"> 44/2021 и 44/2021 – др. закон</w:t>
      </w:r>
      <w:r>
        <w:t>")</w:t>
      </w:r>
      <w:r>
        <w:rPr>
          <w:lang w:val="sr-Latn-RS"/>
        </w:rPr>
        <w:t xml:space="preserve"> </w:t>
      </w:r>
      <w:r>
        <w:rPr>
          <w:bCs/>
          <w:iCs/>
        </w:rPr>
        <w:t>у складу са закљученим уговором и након овере Записника од стране Наручиоца и Понуђача, којим се констатује да је Понуђач извршио испоруку, инсталацију и остале потребне радње на начин предвиђен конкурсном документацијом.</w:t>
      </w:r>
    </w:p>
    <w:p w:rsidR="001B5CFD" w:rsidRDefault="001B5CFD">
      <w:pPr>
        <w:pStyle w:val="Standard"/>
        <w:jc w:val="both"/>
        <w:rPr>
          <w:rFonts w:hint="eastAsia"/>
          <w:b/>
          <w:bCs/>
          <w:iCs/>
        </w:rPr>
      </w:pPr>
    </w:p>
    <w:p w:rsidR="001B5CFD" w:rsidRDefault="00000000">
      <w:pPr>
        <w:pStyle w:val="Standard"/>
        <w:tabs>
          <w:tab w:val="left" w:pos="720"/>
          <w:tab w:val="left" w:pos="6975"/>
        </w:tabs>
        <w:spacing w:before="100"/>
        <w:jc w:val="both"/>
        <w:rPr>
          <w:rFonts w:hint="eastAsia"/>
        </w:rPr>
      </w:pPr>
      <w:r>
        <w:rPr>
          <w:b/>
        </w:rPr>
        <w:t xml:space="preserve">Рок важења понуде: </w:t>
      </w:r>
      <w:r>
        <w:t xml:space="preserve">Рок важења понуде је минимум 60 дана. </w:t>
      </w:r>
      <w:r>
        <w:tab/>
      </w:r>
    </w:p>
    <w:p w:rsidR="001B5CFD" w:rsidRDefault="00000000">
      <w:pPr>
        <w:pStyle w:val="Standard"/>
        <w:tabs>
          <w:tab w:val="left" w:pos="720"/>
        </w:tabs>
        <w:spacing w:before="100"/>
        <w:jc w:val="both"/>
        <w:rPr>
          <w:rFonts w:hint="eastAsia"/>
        </w:rPr>
      </w:pPr>
      <w:bookmarkStart w:id="4" w:name="_Hlk114218228"/>
      <w:r>
        <w:t>У случају истека рока важења понуде, Наручилац је дужан да у писаном облику затражи од Понуђача продужење рока важења понуде.</w:t>
      </w:r>
    </w:p>
    <w:p w:rsidR="001B5CFD" w:rsidRDefault="00000000">
      <w:pPr>
        <w:pStyle w:val="Standard"/>
        <w:tabs>
          <w:tab w:val="left" w:pos="720"/>
          <w:tab w:val="left" w:pos="6975"/>
        </w:tabs>
        <w:spacing w:before="100"/>
        <w:jc w:val="both"/>
        <w:rPr>
          <w:rFonts w:hint="eastAsia"/>
        </w:rPr>
      </w:pPr>
      <w:r>
        <w:t>Понуђач који прихвати захтев за продужење рока важења понуде не може да мења понуду.</w:t>
      </w:r>
      <w:bookmarkEnd w:id="4"/>
    </w:p>
    <w:p w:rsidR="001B5CFD" w:rsidRDefault="00000000">
      <w:pPr>
        <w:pStyle w:val="Standard"/>
        <w:tabs>
          <w:tab w:val="left" w:pos="720"/>
        </w:tabs>
        <w:spacing w:before="100"/>
        <w:jc w:val="both"/>
        <w:rPr>
          <w:rFonts w:hint="eastAsia"/>
          <w:b/>
          <w:u w:val="single"/>
        </w:rPr>
      </w:pPr>
      <w:r>
        <w:rPr>
          <w:b/>
          <w:u w:val="single"/>
        </w:rPr>
        <w:t>Понуђач је дужан да у понуди назначи-упише рок важења понуде.</w:t>
      </w:r>
    </w:p>
    <w:p w:rsidR="001B5CFD" w:rsidRDefault="00000000">
      <w:pPr>
        <w:pStyle w:val="Standard"/>
        <w:tabs>
          <w:tab w:val="left" w:pos="720"/>
        </w:tabs>
        <w:spacing w:before="100"/>
        <w:jc w:val="both"/>
        <w:rPr>
          <w:rFonts w:hint="eastAsia"/>
        </w:rPr>
      </w:pPr>
      <w:r>
        <w:t>Понуда у којој понуђач није навео рок важења понуде или је непрецизно одредио рок важења понуде (нпр.: око, од - до, оквирно или сл.) или је навео краћи рок важења понуде од оног који је одређен конкурсном документацијом, биће одбијена као неприхватљива.</w:t>
      </w:r>
    </w:p>
    <w:p w:rsidR="001B5CFD" w:rsidRDefault="00000000">
      <w:pPr>
        <w:pStyle w:val="Standard"/>
        <w:tabs>
          <w:tab w:val="left" w:pos="720"/>
        </w:tabs>
        <w:spacing w:before="100"/>
        <w:jc w:val="both"/>
        <w:rPr>
          <w:rFonts w:hint="eastAsia"/>
        </w:rPr>
      </w:pPr>
      <w:r>
        <w:t>Понуђач који прихвати захтев за продужење рока важења понуде не може мењати понуду.</w:t>
      </w:r>
    </w:p>
    <w:p w:rsidR="001B5CFD" w:rsidRDefault="001B5CFD">
      <w:pPr>
        <w:pStyle w:val="Standard"/>
        <w:tabs>
          <w:tab w:val="left" w:pos="720"/>
        </w:tabs>
        <w:spacing w:before="100"/>
        <w:jc w:val="both"/>
        <w:rPr>
          <w:rFonts w:hint="eastAsia"/>
        </w:rPr>
      </w:pPr>
    </w:p>
    <w:p w:rsidR="001B5CFD" w:rsidRDefault="00000000">
      <w:pPr>
        <w:pStyle w:val="ListParagraph"/>
        <w:numPr>
          <w:ilvl w:val="0"/>
          <w:numId w:val="6"/>
        </w:numPr>
        <w:jc w:val="both"/>
        <w:rPr>
          <w:rFonts w:hint="eastAsia"/>
        </w:rPr>
      </w:pPr>
      <w:r>
        <w:rPr>
          <w:sz w:val="24"/>
          <w:szCs w:val="24"/>
        </w:rPr>
        <w:t>КРИТЕРИЈУМИ ЗА ДОДЕЛУ УГОВОРА</w:t>
      </w:r>
    </w:p>
    <w:p w:rsidR="001B5CFD" w:rsidRDefault="001B5CFD">
      <w:pPr>
        <w:pStyle w:val="Standard"/>
        <w:jc w:val="both"/>
        <w:rPr>
          <w:rFonts w:hint="eastAsia"/>
        </w:rPr>
      </w:pPr>
    </w:p>
    <w:p w:rsidR="001B5CFD" w:rsidRDefault="00000000">
      <w:pPr>
        <w:pStyle w:val="ListParagraph"/>
        <w:spacing w:after="280"/>
        <w:ind w:left="0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>У поступку јавне набавке наручилац ће доделити уговор економски најповољнијој понуди која се одређује на основу критеријума понуђене цене без ПДВ-а: најнижа понуђена цена максимално 100 пондера. Бодовање се врши по формули (А/Б)х100, где је А - најнижа понуђена цена, Б - понуђена цена понуђача чија понуда се разматра.</w:t>
      </w:r>
    </w:p>
    <w:p w:rsidR="001B5CFD" w:rsidRDefault="001B5CFD">
      <w:pPr>
        <w:pStyle w:val="ListParagraph"/>
        <w:spacing w:after="280"/>
        <w:ind w:left="0"/>
        <w:jc w:val="both"/>
        <w:rPr>
          <w:rFonts w:hint="eastAsia"/>
          <w:b w:val="0"/>
          <w:sz w:val="24"/>
          <w:szCs w:val="24"/>
        </w:rPr>
      </w:pPr>
    </w:p>
    <w:p w:rsidR="001B5CFD" w:rsidRDefault="00000000">
      <w:pPr>
        <w:pStyle w:val="ListParagraph"/>
        <w:ind w:left="0"/>
        <w:jc w:val="both"/>
        <w:rPr>
          <w:rFonts w:hint="eastAsia"/>
        </w:rPr>
      </w:pPr>
      <w:proofErr w:type="spellStart"/>
      <w:r>
        <w:rPr>
          <w:sz w:val="24"/>
          <w:szCs w:val="24"/>
          <w:lang w:eastAsia="en-US"/>
        </w:rPr>
        <w:t>Резервни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критеријум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на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основу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којег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ће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се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доделити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уговор</w:t>
      </w:r>
      <w:proofErr w:type="spellEnd"/>
      <w:r>
        <w:rPr>
          <w:sz w:val="24"/>
          <w:szCs w:val="24"/>
          <w:lang w:eastAsia="en-US"/>
        </w:rPr>
        <w:t xml:space="preserve"> у </w:t>
      </w:r>
      <w:proofErr w:type="spellStart"/>
      <w:r>
        <w:rPr>
          <w:sz w:val="24"/>
          <w:szCs w:val="24"/>
          <w:lang w:eastAsia="en-US"/>
        </w:rPr>
        <w:t>ситуацији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када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постоје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две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или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више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понуда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које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су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након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примене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критеријума</w:t>
      </w:r>
      <w:proofErr w:type="spellEnd"/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једнаке</w:t>
      </w:r>
      <w:proofErr w:type="spellEnd"/>
      <w:r>
        <w:rPr>
          <w:sz w:val="24"/>
          <w:szCs w:val="24"/>
          <w:lang w:eastAsia="en-US"/>
        </w:rPr>
        <w:t>:</w:t>
      </w:r>
    </w:p>
    <w:p w:rsidR="001B5CFD" w:rsidRDefault="001B5CFD">
      <w:pPr>
        <w:pStyle w:val="ListParagraph"/>
        <w:ind w:left="142"/>
        <w:jc w:val="both"/>
        <w:rPr>
          <w:rFonts w:hint="eastAsia"/>
          <w:sz w:val="24"/>
          <w:szCs w:val="24"/>
          <w:u w:val="single"/>
          <w:lang w:eastAsia="en-US"/>
        </w:rPr>
      </w:pPr>
    </w:p>
    <w:p w:rsidR="001B5CFD" w:rsidRDefault="00000000">
      <w:pPr>
        <w:pStyle w:val="ListParagraph"/>
        <w:spacing w:after="280"/>
        <w:ind w:left="0"/>
        <w:jc w:val="both"/>
        <w:rPr>
          <w:lang w:val="sr-Latn-RS"/>
        </w:rPr>
      </w:pPr>
      <w:r>
        <w:t>У случају да постоје две или више понуда са истом ценом, Наручилац ће доделити уговор Понуђачу који понуди краћи рок извршења</w:t>
      </w:r>
      <w:r>
        <w:rPr>
          <w:lang w:val="sr-Latn-RS"/>
        </w:rPr>
        <w:t>.</w:t>
      </w:r>
    </w:p>
    <w:p w:rsidR="0062547D" w:rsidRDefault="0062547D">
      <w:pPr>
        <w:pStyle w:val="ListParagraph"/>
        <w:spacing w:after="280"/>
        <w:ind w:left="0"/>
        <w:jc w:val="both"/>
        <w:rPr>
          <w:lang w:val="sr-Latn-RS"/>
        </w:rPr>
      </w:pPr>
    </w:p>
    <w:p w:rsidR="0062547D" w:rsidRDefault="0062547D" w:rsidP="0062547D">
      <w:pPr>
        <w:pStyle w:val="Default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lastRenderedPageBreak/>
        <w:t>Напомена</w:t>
      </w:r>
      <w:proofErr w:type="spellEnd"/>
      <w:r>
        <w:rPr>
          <w:rFonts w:ascii="Times New Roman" w:hAnsi="Times New Roman" w:cs="Times New Roman"/>
          <w:b/>
          <w:bCs/>
        </w:rPr>
        <w:t xml:space="preserve">: </w:t>
      </w:r>
    </w:p>
    <w:p w:rsidR="0062547D" w:rsidRDefault="0062547D" w:rsidP="0062547D">
      <w:pPr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b/>
          <w:bCs/>
        </w:rPr>
        <w:t>Конкурсна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документација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састављена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је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складу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Законом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јавним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набавкама</w:t>
      </w:r>
      <w:proofErr w:type="spellEnd"/>
      <w:r>
        <w:rPr>
          <w:b/>
          <w:bCs/>
        </w:rPr>
        <w:t xml:space="preserve"> („</w:t>
      </w:r>
      <w:proofErr w:type="spellStart"/>
      <w:r>
        <w:rPr>
          <w:b/>
          <w:bCs/>
        </w:rPr>
        <w:t>Сл.гласник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РС“</w:t>
      </w:r>
      <w:proofErr w:type="gramEnd"/>
      <w:r>
        <w:rPr>
          <w:b/>
          <w:bCs/>
        </w:rPr>
        <w:t xml:space="preserve">, </w:t>
      </w: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 xml:space="preserve"> 91/19), </w:t>
      </w:r>
      <w:proofErr w:type="spellStart"/>
      <w:r>
        <w:rPr>
          <w:b/>
          <w:bCs/>
        </w:rPr>
        <w:t>комплетну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докуметацију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као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све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остале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информације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предметном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поступку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можете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видети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путем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линка</w:t>
      </w:r>
      <w:proofErr w:type="spellEnd"/>
      <w:r>
        <w:rPr>
          <w:b/>
          <w:bCs/>
        </w:rPr>
        <w:t>:</w:t>
      </w:r>
    </w:p>
    <w:p w:rsidR="0062547D" w:rsidRPr="0062547D" w:rsidRDefault="0062547D">
      <w:pPr>
        <w:pStyle w:val="ListParagraph"/>
        <w:spacing w:after="280"/>
        <w:ind w:left="0"/>
        <w:jc w:val="both"/>
      </w:pPr>
    </w:p>
    <w:p w:rsidR="0062547D" w:rsidRDefault="0062547D">
      <w:pPr>
        <w:pStyle w:val="ListParagraph"/>
        <w:spacing w:after="280"/>
        <w:ind w:left="0"/>
        <w:jc w:val="both"/>
        <w:rPr>
          <w:rFonts w:hint="eastAsia"/>
        </w:rPr>
      </w:pPr>
      <w:hyperlink r:id="rId10" w:history="1">
        <w:r w:rsidRPr="0062547D">
          <w:rPr>
            <w:rStyle w:val="Hyperlink"/>
            <w:rFonts w:hint="eastAsia"/>
          </w:rPr>
          <w:t>https://jnportal.ujn.gov.rs/tender-ca/142478</w:t>
        </w:r>
      </w:hyperlink>
      <w:r>
        <w:t xml:space="preserve"> </w:t>
      </w:r>
    </w:p>
    <w:sectPr w:rsidR="0062547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150D" w:rsidRDefault="00C5150D">
      <w:pPr>
        <w:rPr>
          <w:rFonts w:hint="eastAsia"/>
        </w:rPr>
      </w:pPr>
      <w:r>
        <w:separator/>
      </w:r>
    </w:p>
  </w:endnote>
  <w:endnote w:type="continuationSeparator" w:id="0">
    <w:p w:rsidR="00C5150D" w:rsidRDefault="00C515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150D" w:rsidRDefault="00C5150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5150D" w:rsidRDefault="00C5150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E506B"/>
    <w:multiLevelType w:val="multilevel"/>
    <w:tmpl w:val="CC8A764E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23098F"/>
    <w:multiLevelType w:val="multilevel"/>
    <w:tmpl w:val="CDD88700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24898"/>
    <w:multiLevelType w:val="multilevel"/>
    <w:tmpl w:val="4BAC88F6"/>
    <w:styleLink w:val="WW8Num7"/>
    <w:lvl w:ilvl="0">
      <w:start w:val="5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68320554">
    <w:abstractNumId w:val="1"/>
  </w:num>
  <w:num w:numId="2" w16cid:durableId="1955482744">
    <w:abstractNumId w:val="0"/>
  </w:num>
  <w:num w:numId="3" w16cid:durableId="2015955914">
    <w:abstractNumId w:val="2"/>
  </w:num>
  <w:num w:numId="4" w16cid:durableId="829832226">
    <w:abstractNumId w:val="1"/>
    <w:lvlOverride w:ilvl="0">
      <w:startOverride w:val="1"/>
    </w:lvlOverride>
  </w:num>
  <w:num w:numId="5" w16cid:durableId="503128889">
    <w:abstractNumId w:val="0"/>
    <w:lvlOverride w:ilvl="0">
      <w:startOverride w:val="1"/>
    </w:lvlOverride>
  </w:num>
  <w:num w:numId="6" w16cid:durableId="124933955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CFD"/>
    <w:rsid w:val="00184D74"/>
    <w:rsid w:val="001B5CFD"/>
    <w:rsid w:val="00435EF2"/>
    <w:rsid w:val="0062547D"/>
    <w:rsid w:val="006A5EEE"/>
    <w:rsid w:val="00721E69"/>
    <w:rsid w:val="00C5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1FD64"/>
  <w15:docId w15:val="{02295F83-BE64-4460-BE06-BE8B0B0D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ind w:left="720"/>
      <w:contextualSpacing/>
    </w:pPr>
    <w:rPr>
      <w:b/>
      <w:sz w:val="22"/>
      <w:szCs w:val="22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7z0">
    <w:name w:val="WW8Num7z0"/>
    <w:rPr>
      <w:b/>
      <w:color w:val="000000"/>
      <w:sz w:val="24"/>
      <w:szCs w:val="24"/>
      <w:lang w:eastAsia="en-U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numbering" w:customStyle="1" w:styleId="WW8Num29">
    <w:name w:val="WW8Num29"/>
    <w:basedOn w:val="NoList"/>
    <w:pPr>
      <w:numPr>
        <w:numId w:val="1"/>
      </w:numPr>
    </w:pPr>
  </w:style>
  <w:style w:type="numbering" w:customStyle="1" w:styleId="WW8Num25">
    <w:name w:val="WW8Num25"/>
    <w:basedOn w:val="NoList"/>
    <w:pPr>
      <w:numPr>
        <w:numId w:val="2"/>
      </w:numPr>
    </w:pPr>
  </w:style>
  <w:style w:type="numbering" w:customStyle="1" w:styleId="WW8Num7">
    <w:name w:val="WW8Num7"/>
    <w:basedOn w:val="NoList"/>
    <w:pPr>
      <w:numPr>
        <w:numId w:val="3"/>
      </w:numPr>
    </w:pPr>
  </w:style>
  <w:style w:type="paragraph" w:customStyle="1" w:styleId="Default">
    <w:name w:val="Default"/>
    <w:rsid w:val="0062547D"/>
    <w:pPr>
      <w:autoSpaceDE w:val="0"/>
      <w:autoSpaceDN/>
      <w:textAlignment w:val="auto"/>
    </w:pPr>
    <w:rPr>
      <w:rFonts w:ascii="Arial" w:eastAsia="Times New Roman" w:hAnsi="Arial" w:cs="Arial"/>
      <w:color w:val="000000"/>
      <w:kern w:val="0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625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pns.co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jnportal.ujn.gov.rs/tender-ca/1424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anka.radojevic@gspn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Radojevic</dc:creator>
  <cp:lastModifiedBy>Blanka Radojevic</cp:lastModifiedBy>
  <cp:revision>4</cp:revision>
  <dcterms:created xsi:type="dcterms:W3CDTF">2023-03-06T09:10:00Z</dcterms:created>
  <dcterms:modified xsi:type="dcterms:W3CDTF">2023-03-07T06:26:00Z</dcterms:modified>
</cp:coreProperties>
</file>